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296" w:rsidRDefault="00427296" w:rsidP="00427296">
      <w:pPr>
        <w:pStyle w:val="Heading1"/>
        <w:numPr>
          <w:ilvl w:val="0"/>
          <w:numId w:val="0"/>
        </w:numPr>
        <w:ind w:left="432" w:hanging="432"/>
        <w:sectPr w:rsidR="00427296" w:rsidSect="00427296">
          <w:headerReference w:type="default" r:id="rId7"/>
          <w:footerReference w:type="default" r:id="rId8"/>
          <w:pgSz w:w="12240" w:h="15840"/>
          <w:pgMar w:top="1440" w:right="1440" w:bottom="1440" w:left="1440" w:header="720" w:footer="720" w:gutter="0"/>
          <w:cols w:space="720"/>
          <w:titlePg/>
          <w:docGrid w:linePitch="360"/>
        </w:sectPr>
      </w:pPr>
      <w:bookmarkStart w:id="0" w:name="_Toc460309688"/>
      <w:r>
        <w:rPr>
          <w:b w:val="0"/>
          <w:noProof/>
        </w:rPr>
        <w:drawing>
          <wp:anchor distT="0" distB="0" distL="114300" distR="114300" simplePos="0" relativeHeight="251659264" behindDoc="0" locked="0" layoutInCell="1" allowOverlap="1" wp14:anchorId="4FFC11EF" wp14:editId="1448D7BE">
            <wp:simplePos x="0" y="0"/>
            <wp:positionH relativeFrom="margin">
              <wp:posOffset>-368135</wp:posOffset>
            </wp:positionH>
            <wp:positionV relativeFrom="margin">
              <wp:posOffset>-510614</wp:posOffset>
            </wp:positionV>
            <wp:extent cx="6903085" cy="893318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sign-Build Manual Flysheets9.jpg"/>
                    <pic:cNvPicPr/>
                  </pic:nvPicPr>
                  <pic:blipFill>
                    <a:blip r:embed="rId9">
                      <a:extLst>
                        <a:ext uri="{28A0092B-C50C-407E-A947-70E740481C1C}">
                          <a14:useLocalDpi xmlns:a14="http://schemas.microsoft.com/office/drawing/2010/main" val="0"/>
                        </a:ext>
                      </a:extLst>
                    </a:blip>
                    <a:stretch>
                      <a:fillRect/>
                    </a:stretch>
                  </pic:blipFill>
                  <pic:spPr>
                    <a:xfrm>
                      <a:off x="0" y="0"/>
                      <a:ext cx="6903085" cy="8933180"/>
                    </a:xfrm>
                    <a:prstGeom prst="rect">
                      <a:avLst/>
                    </a:prstGeom>
                  </pic:spPr>
                </pic:pic>
              </a:graphicData>
            </a:graphic>
            <wp14:sizeRelH relativeFrom="margin">
              <wp14:pctWidth>0</wp14:pctWidth>
            </wp14:sizeRelH>
            <wp14:sizeRelV relativeFrom="margin">
              <wp14:pctHeight>0</wp14:pctHeight>
            </wp14:sizeRelV>
          </wp:anchor>
        </w:drawing>
      </w:r>
    </w:p>
    <w:p w:rsidR="00E82F9C" w:rsidRDefault="00E82F9C" w:rsidP="00E82F9C">
      <w:pPr>
        <w:pStyle w:val="Heading1"/>
      </w:pPr>
      <w:r>
        <w:lastRenderedPageBreak/>
        <w:t>Streamlined Design-Build</w:t>
      </w:r>
      <w:bookmarkEnd w:id="0"/>
    </w:p>
    <w:p w:rsidR="00E82F9C" w:rsidRDefault="00E82F9C" w:rsidP="00E82F9C">
      <w:pPr>
        <w:rPr>
          <w:b/>
        </w:rPr>
      </w:pPr>
      <w:r>
        <w:t>Streamlined Design-Build (</w:t>
      </w:r>
      <w:proofErr w:type="spellStart"/>
      <w:r>
        <w:t>SDB</w:t>
      </w:r>
      <w:proofErr w:type="spellEnd"/>
      <w:r>
        <w:t xml:space="preserve">) provides a simplified and efficient approach to Design-Build Delivery that can be applied to small and less complex projects.  It is characterized by a single step procurement process that significantly reduces the procurement process, both with regard to the schedule and the effort required by the </w:t>
      </w:r>
      <w:proofErr w:type="spellStart"/>
      <w:r>
        <w:t>CDOT</w:t>
      </w:r>
      <w:proofErr w:type="spellEnd"/>
      <w:r>
        <w:t xml:space="preserve"> project team and the proposers.</w:t>
      </w:r>
    </w:p>
    <w:p w:rsidR="00E82F9C" w:rsidRPr="004722F3" w:rsidRDefault="00E82F9C" w:rsidP="00E82F9C">
      <w:pPr>
        <w:pStyle w:val="Heading2"/>
      </w:pPr>
      <w:bookmarkStart w:id="1" w:name="_Toc460309689"/>
      <w:r>
        <w:t>Procurement</w:t>
      </w:r>
      <w:bookmarkEnd w:id="1"/>
    </w:p>
    <w:p w:rsidR="00E82F9C" w:rsidRDefault="00E82F9C" w:rsidP="00E82F9C">
      <w:r>
        <w:t>The procurement process is defined through the Instructions to Proposers (</w:t>
      </w:r>
      <w:proofErr w:type="spellStart"/>
      <w:r>
        <w:t>ITP</w:t>
      </w:r>
      <w:proofErr w:type="spellEnd"/>
      <w:r>
        <w:t xml:space="preserve">), which is significantly different for </w:t>
      </w:r>
      <w:proofErr w:type="spellStart"/>
      <w:r>
        <w:t>SDB</w:t>
      </w:r>
      <w:proofErr w:type="spellEnd"/>
      <w:r>
        <w:t xml:space="preserve"> than a full two-step Design-Build project.  An </w:t>
      </w:r>
      <w:proofErr w:type="spellStart"/>
      <w:r>
        <w:t>ITP</w:t>
      </w:r>
      <w:proofErr w:type="spellEnd"/>
      <w:r>
        <w:t xml:space="preserve"> template for </w:t>
      </w:r>
      <w:proofErr w:type="spellStart"/>
      <w:r>
        <w:t>SDB</w:t>
      </w:r>
      <w:proofErr w:type="spellEnd"/>
      <w:r>
        <w:t xml:space="preserve"> is provided </w:t>
      </w:r>
      <w:r w:rsidRPr="00707DD2">
        <w:t xml:space="preserve">in the </w:t>
      </w:r>
      <w:r>
        <w:t>on</w:t>
      </w:r>
      <w:r w:rsidRPr="00707DD2">
        <w:t xml:space="preserve">line Appendix on the </w:t>
      </w:r>
      <w:proofErr w:type="spellStart"/>
      <w:r>
        <w:t>CDOT</w:t>
      </w:r>
      <w:proofErr w:type="spellEnd"/>
      <w:r>
        <w:t xml:space="preserve"> </w:t>
      </w:r>
      <w:r w:rsidRPr="00707DD2">
        <w:t>Innovative Contracting web</w:t>
      </w:r>
      <w:r>
        <w:t xml:space="preserve"> page</w:t>
      </w:r>
      <w:r w:rsidRPr="00E8064D">
        <w:t xml:space="preserve"> </w:t>
      </w:r>
      <w:r>
        <w:t xml:space="preserve">or by contacting </w:t>
      </w:r>
      <w:proofErr w:type="spellStart"/>
      <w:r>
        <w:t>CDOT</w:t>
      </w:r>
      <w:proofErr w:type="spellEnd"/>
      <w:r>
        <w:t xml:space="preserve"> Innovative Contracting</w:t>
      </w:r>
      <w:r w:rsidRPr="00707DD2">
        <w:t xml:space="preserve">.  </w:t>
      </w:r>
      <w:r>
        <w:t xml:space="preserve">Key elements of the </w:t>
      </w:r>
      <w:proofErr w:type="spellStart"/>
      <w:r>
        <w:t>SDB</w:t>
      </w:r>
      <w:proofErr w:type="spellEnd"/>
      <w:r>
        <w:t xml:space="preserve"> </w:t>
      </w:r>
      <w:proofErr w:type="spellStart"/>
      <w:r>
        <w:t>ITP</w:t>
      </w:r>
      <w:proofErr w:type="spellEnd"/>
      <w:r>
        <w:t xml:space="preserve"> are:</w:t>
      </w:r>
    </w:p>
    <w:p w:rsidR="00E82F9C" w:rsidRDefault="00E82F9C" w:rsidP="00E82F9C">
      <w:r w:rsidRPr="004722F3">
        <w:rPr>
          <w:b/>
        </w:rPr>
        <w:t>Project Briefing</w:t>
      </w:r>
      <w:r>
        <w:t xml:space="preserve">: Though this is an optional step in the process, it is generally recommended to ensure that proposers understand the unique characteristics of </w:t>
      </w:r>
      <w:proofErr w:type="spellStart"/>
      <w:r>
        <w:t>SDB</w:t>
      </w:r>
      <w:proofErr w:type="spellEnd"/>
      <w:r>
        <w:t xml:space="preserve"> procurement.  Contractor attendance at the project briefing can be either mandatory or optional.  An advantage of making the briefing mandatory is that it allows </w:t>
      </w:r>
      <w:proofErr w:type="spellStart"/>
      <w:r>
        <w:t>CDOT</w:t>
      </w:r>
      <w:proofErr w:type="spellEnd"/>
      <w:r>
        <w:t xml:space="preserve"> to better understand the number of and nature of the possible proposers.</w:t>
      </w:r>
    </w:p>
    <w:p w:rsidR="00E82F9C" w:rsidRDefault="00E82F9C" w:rsidP="00E82F9C">
      <w:r w:rsidRPr="004722F3">
        <w:rPr>
          <w:b/>
        </w:rPr>
        <w:t>Alternative Technical Concepts (</w:t>
      </w:r>
      <w:proofErr w:type="spellStart"/>
      <w:r w:rsidRPr="004722F3">
        <w:rPr>
          <w:b/>
        </w:rPr>
        <w:t>ATCs</w:t>
      </w:r>
      <w:proofErr w:type="spellEnd"/>
      <w:r w:rsidRPr="004722F3">
        <w:rPr>
          <w:b/>
        </w:rPr>
        <w:t xml:space="preserve">):  </w:t>
      </w:r>
      <w:proofErr w:type="spellStart"/>
      <w:r>
        <w:t>SDB</w:t>
      </w:r>
      <w:proofErr w:type="spellEnd"/>
      <w:r>
        <w:t xml:space="preserve"> allows for submittal of </w:t>
      </w:r>
      <w:proofErr w:type="spellStart"/>
      <w:r>
        <w:t>ATCs</w:t>
      </w:r>
      <w:proofErr w:type="spellEnd"/>
      <w:r>
        <w:t xml:space="preserve">, similar to full Design-Build delivery.  The </w:t>
      </w:r>
      <w:proofErr w:type="spellStart"/>
      <w:r>
        <w:t>ATC</w:t>
      </w:r>
      <w:proofErr w:type="spellEnd"/>
      <w:r>
        <w:t xml:space="preserve"> process is a critical element of best value in </w:t>
      </w:r>
      <w:proofErr w:type="spellStart"/>
      <w:r>
        <w:t>SDB</w:t>
      </w:r>
      <w:proofErr w:type="spellEnd"/>
      <w:r>
        <w:t xml:space="preserve">, allowing proposers to modify the project requirements to provide equal or better value to </w:t>
      </w:r>
      <w:proofErr w:type="spellStart"/>
      <w:r>
        <w:t>CDOT</w:t>
      </w:r>
      <w:proofErr w:type="spellEnd"/>
      <w:r>
        <w:t xml:space="preserve"> in the most cost-efficient manner.  To facilitate the </w:t>
      </w:r>
      <w:proofErr w:type="spellStart"/>
      <w:r>
        <w:t>ATC</w:t>
      </w:r>
      <w:proofErr w:type="spellEnd"/>
      <w:r>
        <w:t xml:space="preserve"> process, a period of time is set aside for proposer one-on-one meetings.  The one-on-one meetings are not mandatory and are scheduled on a first-come, first-served basis.  </w:t>
      </w:r>
      <w:proofErr w:type="spellStart"/>
      <w:r>
        <w:t>CDOT</w:t>
      </w:r>
      <w:proofErr w:type="spellEnd"/>
      <w:r>
        <w:t xml:space="preserve"> must provide the opportunity for at least a single one-on-one meeting for each proposer that requests a meeting within the allowed time period.  In rare instances, it may be necessary to extend the meeting period by addendum to provide the necessary meetings.</w:t>
      </w:r>
    </w:p>
    <w:p w:rsidR="00E82F9C" w:rsidRDefault="00E82F9C" w:rsidP="00E82F9C">
      <w:r w:rsidRPr="004722F3">
        <w:rPr>
          <w:b/>
        </w:rPr>
        <w:t>Pass/Fail Evaluation of Proposals</w:t>
      </w:r>
      <w:r>
        <w:t>: Brief technical proposals are required from the proposers.  The purpose of the technical proposals is to ensure that the proposers are technically qualified to perform the work.  The technical proposals are not intended to be used to short-list the most qualified proposers and eliminate other qualified proposers from consideration.</w:t>
      </w:r>
    </w:p>
    <w:p w:rsidR="00E82F9C" w:rsidRDefault="00E82F9C" w:rsidP="00E82F9C">
      <w:r w:rsidRPr="004722F3">
        <w:rPr>
          <w:b/>
        </w:rPr>
        <w:t>Price Proposal (Bid):</w:t>
      </w:r>
      <w:r>
        <w:t xml:space="preserve">  The selection is on the basis of a price proposal.  Though the price proposal can include an adjustment for time (</w:t>
      </w:r>
      <w:proofErr w:type="spellStart"/>
      <w:r>
        <w:t>A+B</w:t>
      </w:r>
      <w:proofErr w:type="spellEnd"/>
      <w:r>
        <w:t>), it should be in the form of a mathematical formula that can be calculated at the bid opening without subjective elements; this keeps the entire evaluation process straightforward, efficient, and less likely to be subject to protest.</w:t>
      </w:r>
    </w:p>
    <w:p w:rsidR="00E82F9C" w:rsidRDefault="00E82F9C" w:rsidP="00E82F9C">
      <w:r w:rsidRPr="00707DD2">
        <w:rPr>
          <w:b/>
        </w:rPr>
        <w:t>Stipends:</w:t>
      </w:r>
      <w:r>
        <w:rPr>
          <w:b/>
        </w:rPr>
        <w:t xml:space="preserve">  </w:t>
      </w:r>
      <w:r>
        <w:t xml:space="preserve">As with traditional Design-Build projects, it can be beneficial with </w:t>
      </w:r>
      <w:proofErr w:type="spellStart"/>
      <w:r>
        <w:t>SDB</w:t>
      </w:r>
      <w:proofErr w:type="spellEnd"/>
      <w:r>
        <w:t xml:space="preserve"> projects to offer a stipend to unsuccessful responsive submitters.  Because the process is single step without a short-listing phase, the number of contractors that will submit Proposals is unknown.  To limit the potential of an excessive total stipend payout to a large number of proposers, the total stipend amount is usually set in the </w:t>
      </w:r>
      <w:proofErr w:type="spellStart"/>
      <w:r>
        <w:t>ITP</w:t>
      </w:r>
      <w:proofErr w:type="spellEnd"/>
      <w:r>
        <w:t xml:space="preserve">, with the statement that it will be distributed equally to the top three unsuccessful responsive submitters. </w:t>
      </w:r>
    </w:p>
    <w:p w:rsidR="00E82F9C" w:rsidRPr="004722F3" w:rsidRDefault="00E82F9C" w:rsidP="00E82F9C">
      <w:pPr>
        <w:pStyle w:val="Heading2"/>
      </w:pPr>
      <w:bookmarkStart w:id="2" w:name="_Toc460309690"/>
      <w:r>
        <w:t>RFP and Contract Documents</w:t>
      </w:r>
      <w:bookmarkEnd w:id="2"/>
    </w:p>
    <w:p w:rsidR="00E82F9C" w:rsidRPr="002D1F11" w:rsidRDefault="00E82F9C" w:rsidP="00E82F9C">
      <w:r>
        <w:t xml:space="preserve">The Request for Proposal (RFP) and Contract Documents for </w:t>
      </w:r>
      <w:proofErr w:type="spellStart"/>
      <w:r>
        <w:t>SDB</w:t>
      </w:r>
      <w:proofErr w:type="spellEnd"/>
      <w:r>
        <w:t xml:space="preserve"> are the same as those for full Design-Build with one notable exception.  Instead of using the standard Design-Build Book 1 for the Contract, </w:t>
      </w:r>
      <w:proofErr w:type="spellStart"/>
      <w:r>
        <w:t>SDB</w:t>
      </w:r>
      <w:proofErr w:type="spellEnd"/>
      <w:r>
        <w:t xml:space="preserve"> uses Division 100 of the </w:t>
      </w:r>
      <w:proofErr w:type="spellStart"/>
      <w:r>
        <w:t>CDOT</w:t>
      </w:r>
      <w:proofErr w:type="spellEnd"/>
      <w:r>
        <w:t xml:space="preserve"> Standard Specifications.  This approach allows project teams to rely on Contract provisions that they are usually very familiar with from their experience on traditional Design-Bid-Build (D-B-B) projects.  For the standard Division 100 to be applicable to </w:t>
      </w:r>
      <w:proofErr w:type="spellStart"/>
      <w:r>
        <w:t>SDB</w:t>
      </w:r>
      <w:proofErr w:type="spellEnd"/>
      <w:r>
        <w:t xml:space="preserve">, it is necessary to modify a number of its provisions.  The modifications are provided through Section 1 (General) of the Technical Requirements, which includes Project Special Provisions for Division 100.  Most of the revisions are related to Contract management of design work that is not a part of the Standard Specifications.  Examples are: professional liability insurance provisions; key Design-Build terminology, such as the definitions of Approval and Acceptance; and a two-step </w:t>
      </w:r>
      <w:proofErr w:type="spellStart"/>
      <w:r>
        <w:t>NTP</w:t>
      </w:r>
      <w:proofErr w:type="spellEnd"/>
      <w:r>
        <w:t xml:space="preserve"> process to allow early initiation of the design process. A template for </w:t>
      </w:r>
      <w:r w:rsidRPr="002D1F11">
        <w:t xml:space="preserve">the Streamlined Division 100 Project Special Provision is </w:t>
      </w:r>
      <w:r>
        <w:t>available</w:t>
      </w:r>
      <w:r w:rsidRPr="002D1F11">
        <w:t xml:space="preserve"> in the </w:t>
      </w:r>
      <w:r>
        <w:t>online</w:t>
      </w:r>
      <w:r w:rsidRPr="002D1F11">
        <w:t xml:space="preserve"> Appendix</w:t>
      </w:r>
      <w:r>
        <w:t xml:space="preserve"> on the </w:t>
      </w:r>
      <w:proofErr w:type="spellStart"/>
      <w:r>
        <w:t>CDOT</w:t>
      </w:r>
      <w:proofErr w:type="spellEnd"/>
      <w:r>
        <w:t xml:space="preserve"> Innovative Contracting web page or by contacting </w:t>
      </w:r>
      <w:proofErr w:type="spellStart"/>
      <w:r>
        <w:t>CDOT</w:t>
      </w:r>
      <w:proofErr w:type="spellEnd"/>
      <w:r>
        <w:t xml:space="preserve"> Innovative Contracting</w:t>
      </w:r>
      <w:r w:rsidRPr="002D1F11">
        <w:t>.</w:t>
      </w:r>
    </w:p>
    <w:p w:rsidR="00427296" w:rsidRDefault="00E82F9C" w:rsidP="00E82F9C">
      <w:pPr>
        <w:sectPr w:rsidR="00427296" w:rsidSect="00427296">
          <w:pgSz w:w="12240" w:h="15840"/>
          <w:pgMar w:top="1440" w:right="1440" w:bottom="1440" w:left="1440" w:header="720" w:footer="720" w:gutter="0"/>
          <w:pgNumType w:start="1"/>
          <w:cols w:space="720"/>
          <w:docGrid w:linePitch="360"/>
        </w:sectPr>
      </w:pPr>
      <w:r>
        <w:t xml:space="preserve">The other sections of the Book 2, Technical Requirements are for the most part the same for </w:t>
      </w:r>
      <w:proofErr w:type="spellStart"/>
      <w:r>
        <w:t>SDB</w:t>
      </w:r>
      <w:proofErr w:type="spellEnd"/>
      <w:r>
        <w:t xml:space="preserve"> as for full Design-Build, and </w:t>
      </w:r>
      <w:proofErr w:type="spellStart"/>
      <w:r>
        <w:t>SDB</w:t>
      </w:r>
      <w:proofErr w:type="spellEnd"/>
      <w:r>
        <w:t xml:space="preserve"> delivery can make use of templates that have already been developed.  One notable difference is in the Technical Requirement Section 3, Quality Management. In full Design-Build the Contractor often provides Acceptance testing and inspection through </w:t>
      </w:r>
      <w:proofErr w:type="spellStart"/>
      <w:r>
        <w:t>ICQC</w:t>
      </w:r>
      <w:proofErr w:type="spellEnd"/>
      <w:r>
        <w:t xml:space="preserve">.  In </w:t>
      </w:r>
      <w:proofErr w:type="spellStart"/>
      <w:r>
        <w:t>SDB</w:t>
      </w:r>
      <w:proofErr w:type="spellEnd"/>
      <w:r>
        <w:t xml:space="preserve">, however, it is usually the best approach for </w:t>
      </w:r>
      <w:proofErr w:type="spellStart"/>
      <w:r>
        <w:t>CDOT</w:t>
      </w:r>
      <w:proofErr w:type="spellEnd"/>
      <w:r>
        <w:t xml:space="preserve"> to provide Acceptance testing and inspection for the project in a manner similar to traditional D-B-B.</w:t>
      </w:r>
    </w:p>
    <w:p w:rsidR="00E82F9C" w:rsidRDefault="00427296" w:rsidP="00E82F9C">
      <w:bookmarkStart w:id="3" w:name="_GoBack"/>
      <w:r>
        <w:rPr>
          <w:noProof/>
          <w:color w:val="FF0000"/>
        </w:rPr>
        <w:drawing>
          <wp:anchor distT="0" distB="0" distL="114300" distR="114300" simplePos="0" relativeHeight="251661312" behindDoc="0" locked="0" layoutInCell="1" allowOverlap="1" wp14:anchorId="286E98F2" wp14:editId="35EE316A">
            <wp:simplePos x="0" y="0"/>
            <wp:positionH relativeFrom="margin">
              <wp:posOffset>-533400</wp:posOffset>
            </wp:positionH>
            <wp:positionV relativeFrom="margin">
              <wp:posOffset>-450694</wp:posOffset>
            </wp:positionV>
            <wp:extent cx="6947535" cy="8932545"/>
            <wp:effectExtent l="0" t="0" r="5715" b="190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DOT DB Manual B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47535" cy="8932545"/>
                    </a:xfrm>
                    <a:prstGeom prst="rect">
                      <a:avLst/>
                    </a:prstGeom>
                  </pic:spPr>
                </pic:pic>
              </a:graphicData>
            </a:graphic>
            <wp14:sizeRelH relativeFrom="margin">
              <wp14:pctWidth>0</wp14:pctWidth>
            </wp14:sizeRelH>
            <wp14:sizeRelV relativeFrom="margin">
              <wp14:pctHeight>0</wp14:pctHeight>
            </wp14:sizeRelV>
          </wp:anchor>
        </w:drawing>
      </w:r>
      <w:bookmarkEnd w:id="3"/>
    </w:p>
    <w:sectPr w:rsidR="00E82F9C" w:rsidSect="00427296">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F9C" w:rsidRDefault="00E82F9C" w:rsidP="00E82F9C">
      <w:pPr>
        <w:spacing w:after="0" w:line="240" w:lineRule="auto"/>
      </w:pPr>
      <w:r>
        <w:separator/>
      </w:r>
    </w:p>
  </w:endnote>
  <w:endnote w:type="continuationSeparator" w:id="0">
    <w:p w:rsidR="00E82F9C" w:rsidRDefault="00E82F9C" w:rsidP="00E82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782889"/>
      <w:docPartObj>
        <w:docPartGallery w:val="Page Numbers (Bottom of Page)"/>
        <w:docPartUnique/>
      </w:docPartObj>
    </w:sdtPr>
    <w:sdtEndPr>
      <w:rPr>
        <w:color w:val="7F7F7F" w:themeColor="background1" w:themeShade="7F"/>
        <w:spacing w:val="60"/>
      </w:rPr>
    </w:sdtEndPr>
    <w:sdtContent>
      <w:p w:rsidR="0092418D" w:rsidRDefault="00E82F9C" w:rsidP="00C82796">
        <w:pPr>
          <w:pStyle w:val="Footer"/>
          <w:pBdr>
            <w:top w:val="single" w:sz="4" w:space="1" w:color="D9D9D9" w:themeColor="background1" w:themeShade="D9"/>
          </w:pBdr>
          <w:tabs>
            <w:tab w:val="clear" w:pos="9360"/>
            <w:tab w:val="right" w:pos="10080"/>
          </w:tabs>
          <w:jc w:val="right"/>
        </w:pPr>
        <w:r>
          <w:rPr>
            <w:rFonts w:cstheme="minorHAnsi"/>
            <w:b/>
            <w:noProof/>
            <w:color w:val="C00000"/>
            <w:sz w:val="24"/>
            <w:szCs w:val="23"/>
          </w:rPr>
          <w:drawing>
            <wp:anchor distT="0" distB="0" distL="114300" distR="114300" simplePos="0" relativeHeight="251659264" behindDoc="1" locked="0" layoutInCell="1" allowOverlap="1" wp14:anchorId="431119F8" wp14:editId="021E0C33">
              <wp:simplePos x="0" y="0"/>
              <wp:positionH relativeFrom="column">
                <wp:posOffset>-266700</wp:posOffset>
              </wp:positionH>
              <wp:positionV relativeFrom="paragraph">
                <wp:posOffset>36195</wp:posOffset>
              </wp:positionV>
              <wp:extent cx="2095500" cy="422959"/>
              <wp:effectExtent l="0" t="0" r="0" b="0"/>
              <wp:wrapNone/>
              <wp:docPr id="248" name="Picture 248" descr="http://i1173.photobucket.com/albums/r599/mgolou/newCDOTlogo_zpsfbd9b2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173.photobucket.com/albums/r599/mgolou/newCDOTlogo_zpsfbd9b2ed.jpg"/>
                      <pic:cNvPicPr>
                        <a:picLocks noChangeAspect="1" noChangeArrowheads="1"/>
                      </pic:cNvPicPr>
                    </pic:nvPicPr>
                    <pic:blipFill>
                      <a:blip r:embed="rId1" cstate="print"/>
                      <a:srcRect/>
                      <a:stretch>
                        <a:fillRect/>
                      </a:stretch>
                    </pic:blipFill>
                    <pic:spPr bwMode="auto">
                      <a:xfrm>
                        <a:off x="0" y="0"/>
                        <a:ext cx="2154092" cy="4347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9-</w:t>
        </w:r>
        <w:r>
          <w:fldChar w:fldCharType="begin"/>
        </w:r>
        <w:r>
          <w:instrText xml:space="preserve"> PAGE   \* MERGEFORMAT </w:instrText>
        </w:r>
        <w:r>
          <w:fldChar w:fldCharType="separate"/>
        </w:r>
        <w:r w:rsidR="00427296">
          <w:rPr>
            <w:noProof/>
          </w:rPr>
          <w:t>1</w:t>
        </w:r>
        <w:r>
          <w:rPr>
            <w:noProof/>
          </w:rPr>
          <w:fldChar w:fldCharType="end"/>
        </w:r>
        <w:r>
          <w:t xml:space="preserve"> | </w:t>
        </w:r>
        <w:r>
          <w:rPr>
            <w:color w:val="7F7F7F" w:themeColor="background1" w:themeShade="7F"/>
            <w:spacing w:val="60"/>
          </w:rPr>
          <w:t>Page</w:t>
        </w:r>
      </w:p>
    </w:sdtContent>
  </w:sdt>
  <w:p w:rsidR="0092418D" w:rsidRDefault="0042729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296" w:rsidRPr="00427296" w:rsidRDefault="00427296" w:rsidP="00427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F9C" w:rsidRDefault="00E82F9C" w:rsidP="00E82F9C">
      <w:pPr>
        <w:spacing w:after="0" w:line="240" w:lineRule="auto"/>
      </w:pPr>
      <w:r>
        <w:separator/>
      </w:r>
    </w:p>
  </w:footnote>
  <w:footnote w:type="continuationSeparator" w:id="0">
    <w:p w:rsidR="00E82F9C" w:rsidRDefault="00E82F9C" w:rsidP="00E82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548304"/>
      <w:docPartObj>
        <w:docPartGallery w:val="Page Numbers (Top of Page)"/>
        <w:docPartUnique/>
      </w:docPartObj>
    </w:sdtPr>
    <w:sdtEndPr/>
    <w:sdtContent>
      <w:p w:rsidR="0092418D" w:rsidRDefault="00E82F9C" w:rsidP="00D83AA1">
        <w:pPr>
          <w:pStyle w:val="Header"/>
          <w:pBdr>
            <w:bottom w:val="single" w:sz="4" w:space="1" w:color="D9D9D9" w:themeColor="background1" w:themeShade="D9"/>
          </w:pBdr>
          <w:rPr>
            <w:b/>
            <w:bCs/>
          </w:rPr>
        </w:pPr>
        <w:proofErr w:type="spellStart"/>
        <w:r>
          <w:t>CDOT</w:t>
        </w:r>
        <w:proofErr w:type="spellEnd"/>
        <w:r>
          <w:t xml:space="preserve"> Design-Build Manual Update</w:t>
        </w:r>
        <w:r>
          <w:tab/>
        </w:r>
        <w:r>
          <w:tab/>
          <w:t>September 1, 2016</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296" w:rsidRPr="00427296" w:rsidRDefault="00427296" w:rsidP="00427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13D21"/>
    <w:multiLevelType w:val="multilevel"/>
    <w:tmpl w:val="D88899E8"/>
    <w:lvl w:ilvl="0">
      <w:start w:val="9"/>
      <w:numFmt w:val="decimal"/>
      <w:pStyle w:val="Heading1"/>
      <w:lvlText w:val="Chapter %1:"/>
      <w:lvlJc w:val="left"/>
      <w:pPr>
        <w:ind w:left="432"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603115E3"/>
    <w:multiLevelType w:val="multilevel"/>
    <w:tmpl w:val="9ACCEEEE"/>
    <w:styleLink w:val="Style1"/>
    <w:lvl w:ilvl="0">
      <w:start w:val="1"/>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F9C"/>
    <w:rsid w:val="000538CB"/>
    <w:rsid w:val="00427296"/>
    <w:rsid w:val="00A86115"/>
    <w:rsid w:val="00E82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650FBA-F14D-4C72-8091-C9920FA1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F9C"/>
    <w:pPr>
      <w:spacing w:after="160" w:line="259" w:lineRule="auto"/>
    </w:pPr>
  </w:style>
  <w:style w:type="paragraph" w:styleId="Heading1">
    <w:name w:val="heading 1"/>
    <w:basedOn w:val="Normal"/>
    <w:next w:val="Normal"/>
    <w:link w:val="Heading1Char"/>
    <w:uiPriority w:val="9"/>
    <w:qFormat/>
    <w:rsid w:val="00E82F9C"/>
    <w:pPr>
      <w:keepNext/>
      <w:keepLines/>
      <w:numPr>
        <w:numId w:val="2"/>
      </w:numPr>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82F9C"/>
    <w:pPr>
      <w:keepNext/>
      <w:keepLines/>
      <w:numPr>
        <w:ilvl w:val="1"/>
        <w:numId w:val="2"/>
      </w:numPr>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82F9C"/>
    <w:pPr>
      <w:keepNext/>
      <w:keepLines/>
      <w:numPr>
        <w:ilvl w:val="2"/>
        <w:numId w:val="2"/>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E82F9C"/>
    <w:pPr>
      <w:keepNext/>
      <w:keepLines/>
      <w:numPr>
        <w:ilvl w:val="3"/>
        <w:numId w:val="2"/>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E82F9C"/>
    <w:pPr>
      <w:keepNext/>
      <w:keepLines/>
      <w:numPr>
        <w:ilvl w:val="4"/>
        <w:numId w:val="2"/>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82F9C"/>
    <w:pPr>
      <w:keepNext/>
      <w:keepLines/>
      <w:numPr>
        <w:ilvl w:val="5"/>
        <w:numId w:val="2"/>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E82F9C"/>
    <w:pPr>
      <w:keepNext/>
      <w:keepLines/>
      <w:numPr>
        <w:ilvl w:val="6"/>
        <w:numId w:val="2"/>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82F9C"/>
    <w:pPr>
      <w:keepNext/>
      <w:keepLines/>
      <w:numPr>
        <w:ilvl w:val="7"/>
        <w:numId w:val="2"/>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82F9C"/>
    <w:pPr>
      <w:keepNext/>
      <w:keepLines/>
      <w:numPr>
        <w:ilvl w:val="8"/>
        <w:numId w:val="2"/>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0538CB"/>
    <w:pPr>
      <w:numPr>
        <w:numId w:val="1"/>
      </w:numPr>
    </w:pPr>
  </w:style>
  <w:style w:type="character" w:customStyle="1" w:styleId="Heading1Char">
    <w:name w:val="Heading 1 Char"/>
    <w:basedOn w:val="DefaultParagraphFont"/>
    <w:link w:val="Heading1"/>
    <w:uiPriority w:val="9"/>
    <w:rsid w:val="00E82F9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E82F9C"/>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E82F9C"/>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E82F9C"/>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E82F9C"/>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E82F9C"/>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E82F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82F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82F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E82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F9C"/>
  </w:style>
  <w:style w:type="paragraph" w:styleId="Footer">
    <w:name w:val="footer"/>
    <w:basedOn w:val="Normal"/>
    <w:link w:val="FooterChar"/>
    <w:uiPriority w:val="99"/>
    <w:unhideWhenUsed/>
    <w:rsid w:val="00E82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749</Words>
  <Characters>4273</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Streamlined Design-Build</vt:lpstr>
      <vt:lpstr>    Procurement</vt:lpstr>
      <vt:lpstr>    RFP and Contract Documents</vt:lpstr>
    </vt:vector>
  </TitlesOfParts>
  <Company>Wilson &amp; Company, Engineers &amp; Architects, Inc.</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Davenport, Courtney R.</dc:creator>
  <cp:keywords/>
  <dc:description/>
  <cp:lastModifiedBy>Davenport, Courtney R.</cp:lastModifiedBy>
  <cp:revision>2</cp:revision>
  <dcterms:created xsi:type="dcterms:W3CDTF">2016-09-06T15:41:00Z</dcterms:created>
  <dcterms:modified xsi:type="dcterms:W3CDTF">2016-09-06T21:24:00Z</dcterms:modified>
</cp:coreProperties>
</file>